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F9" w:rsidRPr="00ED56CD" w:rsidRDefault="00286D66" w:rsidP="00ED56CD">
      <w:pPr>
        <w:spacing w:line="240" w:lineRule="auto"/>
        <w:rPr>
          <w:b/>
          <w:i/>
          <w:color w:val="222222"/>
          <w:sz w:val="20"/>
          <w:szCs w:val="20"/>
        </w:rPr>
      </w:pPr>
      <w:bookmarkStart w:id="0" w:name="_GoBack"/>
      <w:bookmarkEnd w:id="0"/>
      <w:r w:rsidRPr="00ED56CD">
        <w:rPr>
          <w:b/>
          <w:i/>
          <w:color w:val="222222"/>
          <w:sz w:val="20"/>
          <w:szCs w:val="20"/>
        </w:rPr>
        <w:t xml:space="preserve">Cien. </w:t>
      </w:r>
      <w:r w:rsidR="002A2997" w:rsidRPr="00ED56CD">
        <w:rPr>
          <w:b/>
          <w:i/>
          <w:color w:val="222222"/>
          <w:sz w:val="20"/>
          <w:szCs w:val="20"/>
        </w:rPr>
        <w:t>K</w:t>
      </w:r>
      <w:r w:rsidRPr="00ED56CD">
        <w:rPr>
          <w:b/>
          <w:i/>
          <w:color w:val="222222"/>
          <w:sz w:val="20"/>
          <w:szCs w:val="20"/>
        </w:rPr>
        <w:t>lient!</w:t>
      </w:r>
    </w:p>
    <w:p w:rsidR="00286D66" w:rsidRPr="00ED56CD" w:rsidRDefault="00ED56CD" w:rsidP="00ED56CD">
      <w:pPr>
        <w:spacing w:after="0" w:line="240" w:lineRule="auto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Patei</w:t>
      </w:r>
      <w:r w:rsidR="00A742C2" w:rsidRPr="00ED56CD">
        <w:rPr>
          <w:color w:val="222222"/>
          <w:sz w:val="20"/>
          <w:szCs w:val="20"/>
        </w:rPr>
        <w:t xml:space="preserve">camies, ka izvēlējāties </w:t>
      </w:r>
      <w:r w:rsidR="006C633A" w:rsidRPr="00ED56CD">
        <w:rPr>
          <w:color w:val="222222"/>
          <w:sz w:val="20"/>
          <w:szCs w:val="20"/>
        </w:rPr>
        <w:t>“</w:t>
      </w:r>
      <w:r w:rsidR="00286D66" w:rsidRPr="00ED56CD">
        <w:rPr>
          <w:color w:val="222222"/>
          <w:sz w:val="20"/>
          <w:szCs w:val="20"/>
        </w:rPr>
        <w:t>Farmasystem</w:t>
      </w:r>
      <w:r w:rsidR="006C633A" w:rsidRPr="00ED56CD">
        <w:rPr>
          <w:color w:val="222222"/>
          <w:sz w:val="20"/>
          <w:szCs w:val="20"/>
        </w:rPr>
        <w:t>”</w:t>
      </w:r>
      <w:r w:rsidR="00A742C2" w:rsidRPr="00ED56CD">
        <w:rPr>
          <w:color w:val="222222"/>
          <w:sz w:val="20"/>
          <w:szCs w:val="20"/>
        </w:rPr>
        <w:t xml:space="preserve"> produktu!</w:t>
      </w:r>
    </w:p>
    <w:p w:rsidR="006534F9" w:rsidRPr="00ED56CD" w:rsidRDefault="00A742C2" w:rsidP="00ED56CD">
      <w:pPr>
        <w:spacing w:after="0" w:line="276" w:lineRule="auto"/>
        <w:rPr>
          <w:color w:val="222222"/>
          <w:sz w:val="20"/>
          <w:szCs w:val="20"/>
        </w:rPr>
      </w:pPr>
      <w:r w:rsidRPr="00ED56CD">
        <w:rPr>
          <w:color w:val="222222"/>
          <w:sz w:val="20"/>
          <w:szCs w:val="20"/>
        </w:rPr>
        <w:t>Pirms lietošanas, lūdzu, rūpīgi izlasiet instrukciju.</w:t>
      </w:r>
      <w:r w:rsidR="0021582B" w:rsidRPr="00ED56CD">
        <w:rPr>
          <w:color w:val="222222"/>
          <w:sz w:val="20"/>
          <w:szCs w:val="20"/>
        </w:rPr>
        <w:t xml:space="preserve"> </w:t>
      </w:r>
      <w:r w:rsidR="00286D66" w:rsidRPr="00ED56CD">
        <w:rPr>
          <w:color w:val="222222"/>
          <w:sz w:val="20"/>
          <w:szCs w:val="20"/>
        </w:rPr>
        <w:t>Jautājumu gadījumā</w:t>
      </w:r>
      <w:r w:rsidR="0021582B" w:rsidRPr="00ED56CD">
        <w:rPr>
          <w:color w:val="222222"/>
          <w:sz w:val="20"/>
          <w:szCs w:val="20"/>
        </w:rPr>
        <w:t>, lūdzu</w:t>
      </w:r>
      <w:r w:rsidR="00286D66" w:rsidRPr="00ED56CD">
        <w:rPr>
          <w:color w:val="222222"/>
          <w:sz w:val="20"/>
          <w:szCs w:val="20"/>
        </w:rPr>
        <w:t xml:space="preserve">, </w:t>
      </w:r>
      <w:r w:rsidR="0021582B" w:rsidRPr="00ED56CD">
        <w:rPr>
          <w:color w:val="222222"/>
          <w:sz w:val="20"/>
          <w:szCs w:val="20"/>
        </w:rPr>
        <w:t xml:space="preserve"> sazinieties ar savu </w:t>
      </w:r>
      <w:r w:rsidR="00286D66" w:rsidRPr="00ED56CD">
        <w:rPr>
          <w:color w:val="222222"/>
          <w:sz w:val="20"/>
          <w:szCs w:val="20"/>
        </w:rPr>
        <w:t>ārstu vai ortopēdu.</w:t>
      </w:r>
    </w:p>
    <w:p w:rsidR="00CC2512" w:rsidRPr="00ED56CD" w:rsidRDefault="00CC2512" w:rsidP="00ED56CD">
      <w:pPr>
        <w:spacing w:after="0" w:line="276" w:lineRule="auto"/>
        <w:rPr>
          <w:b/>
          <w:i/>
          <w:color w:val="222222"/>
          <w:sz w:val="20"/>
          <w:szCs w:val="20"/>
        </w:rPr>
      </w:pPr>
    </w:p>
    <w:p w:rsidR="00286D66" w:rsidRPr="00ED56CD" w:rsidRDefault="00286D66" w:rsidP="00ED56CD">
      <w:pPr>
        <w:spacing w:line="276" w:lineRule="auto"/>
        <w:rPr>
          <w:b/>
          <w:i/>
          <w:color w:val="222222"/>
          <w:sz w:val="20"/>
          <w:szCs w:val="20"/>
          <w:u w:val="single"/>
        </w:rPr>
      </w:pPr>
      <w:r w:rsidRPr="00ED56CD">
        <w:rPr>
          <w:b/>
          <w:i/>
          <w:color w:val="222222"/>
          <w:sz w:val="20"/>
          <w:szCs w:val="20"/>
          <w:u w:val="single"/>
        </w:rPr>
        <w:t>Preces atbilstības regulas</w:t>
      </w:r>
    </w:p>
    <w:p w:rsidR="00286D66" w:rsidRPr="00ED56CD" w:rsidRDefault="00286D66" w:rsidP="00ED56CD">
      <w:pPr>
        <w:spacing w:after="0" w:line="240" w:lineRule="auto"/>
        <w:rPr>
          <w:color w:val="222222"/>
          <w:sz w:val="20"/>
          <w:szCs w:val="20"/>
        </w:rPr>
      </w:pPr>
      <w:r w:rsidRPr="00ED56CD">
        <w:rPr>
          <w:color w:val="222222"/>
          <w:sz w:val="20"/>
          <w:szCs w:val="20"/>
        </w:rPr>
        <w:t>Prece atbilst Eiropas Medicīnas Ierīču Direktīvai 93/42/CEE (RD.1591/2009)</w:t>
      </w:r>
    </w:p>
    <w:p w:rsidR="00286D66" w:rsidRPr="00ED56CD" w:rsidRDefault="00286D66" w:rsidP="00ED56CD">
      <w:pPr>
        <w:spacing w:after="0" w:line="240" w:lineRule="auto"/>
        <w:rPr>
          <w:color w:val="222222"/>
          <w:sz w:val="20"/>
          <w:szCs w:val="20"/>
        </w:rPr>
      </w:pPr>
      <w:r w:rsidRPr="00ED56CD">
        <w:rPr>
          <w:color w:val="222222"/>
          <w:sz w:val="20"/>
          <w:szCs w:val="20"/>
        </w:rPr>
        <w:t>Precei ir veikta riska analīze (UNE EN ISO 14971), samazinot pastāvošos lietošanas riskus.</w:t>
      </w:r>
    </w:p>
    <w:p w:rsidR="00286D66" w:rsidRPr="00ED56CD" w:rsidRDefault="00286D66" w:rsidP="00ED56CD">
      <w:pPr>
        <w:spacing w:after="0" w:line="240" w:lineRule="auto"/>
        <w:rPr>
          <w:color w:val="222222"/>
          <w:sz w:val="20"/>
          <w:szCs w:val="20"/>
        </w:rPr>
      </w:pPr>
      <w:r w:rsidRPr="00ED56CD">
        <w:rPr>
          <w:color w:val="222222"/>
          <w:sz w:val="20"/>
          <w:szCs w:val="20"/>
        </w:rPr>
        <w:t xml:space="preserve">Izmēģinājumi </w:t>
      </w:r>
      <w:r w:rsidR="006C633A" w:rsidRPr="00ED56CD">
        <w:rPr>
          <w:color w:val="222222"/>
          <w:sz w:val="20"/>
          <w:szCs w:val="20"/>
        </w:rPr>
        <w:t>veikti saskaņā ar Protēžu un Ortožu r</w:t>
      </w:r>
      <w:r w:rsidR="002A2997" w:rsidRPr="00ED56CD">
        <w:rPr>
          <w:color w:val="222222"/>
          <w:sz w:val="20"/>
          <w:szCs w:val="20"/>
        </w:rPr>
        <w:t>egulu (UNE-EN ISO 22523)</w:t>
      </w:r>
    </w:p>
    <w:p w:rsidR="00ED56CD" w:rsidRDefault="00ED56CD" w:rsidP="00ED56CD">
      <w:pPr>
        <w:spacing w:line="240" w:lineRule="auto"/>
        <w:rPr>
          <w:b/>
          <w:i/>
          <w:color w:val="222222"/>
        </w:rPr>
      </w:pPr>
    </w:p>
    <w:p w:rsidR="002A2997" w:rsidRPr="00ED56CD" w:rsidRDefault="002A2997" w:rsidP="00ED56CD">
      <w:pPr>
        <w:spacing w:line="240" w:lineRule="auto"/>
        <w:rPr>
          <w:b/>
          <w:i/>
          <w:color w:val="222222"/>
          <w:sz w:val="20"/>
          <w:szCs w:val="20"/>
          <w:u w:val="single"/>
        </w:rPr>
      </w:pPr>
      <w:r w:rsidRPr="00ED56CD">
        <w:rPr>
          <w:b/>
          <w:i/>
          <w:color w:val="222222"/>
          <w:sz w:val="20"/>
          <w:szCs w:val="20"/>
          <w:u w:val="single"/>
        </w:rPr>
        <w:t>Lietošanas norādījumi</w:t>
      </w:r>
    </w:p>
    <w:p w:rsidR="002A2997" w:rsidRPr="00ED56CD" w:rsidRDefault="002A2997">
      <w:pPr>
        <w:rPr>
          <w:color w:val="222222"/>
          <w:sz w:val="20"/>
          <w:szCs w:val="20"/>
        </w:rPr>
      </w:pPr>
      <w:r w:rsidRPr="00ED56CD">
        <w:rPr>
          <w:color w:val="222222"/>
          <w:sz w:val="20"/>
          <w:szCs w:val="20"/>
        </w:rPr>
        <w:t xml:space="preserve">Lai sasniegtu maksimālo terapeitisko efektu pie dažādām saslimšanām, un </w:t>
      </w:r>
      <w:r w:rsidR="00D13BA3" w:rsidRPr="00ED56CD">
        <w:rPr>
          <w:color w:val="222222"/>
          <w:sz w:val="20"/>
          <w:szCs w:val="20"/>
        </w:rPr>
        <w:t>maksimāli pa</w:t>
      </w:r>
      <w:r w:rsidR="00D9418A" w:rsidRPr="00ED56CD">
        <w:rPr>
          <w:color w:val="222222"/>
          <w:sz w:val="20"/>
          <w:szCs w:val="20"/>
        </w:rPr>
        <w:t>garinātu</w:t>
      </w:r>
      <w:r w:rsidR="00D13BA3" w:rsidRPr="00ED56CD">
        <w:rPr>
          <w:color w:val="222222"/>
          <w:sz w:val="20"/>
          <w:szCs w:val="20"/>
        </w:rPr>
        <w:t xml:space="preserve"> ortozes kalpošanas laiku, ir ļoti svarīgi izvēlēties atbilstošu izmēru un kompresijas pakāpi katram pacientam.</w:t>
      </w:r>
    </w:p>
    <w:p w:rsidR="00D13BA3" w:rsidRPr="00ED56CD" w:rsidRDefault="00D13BA3">
      <w:pPr>
        <w:rPr>
          <w:b/>
          <w:color w:val="222222"/>
          <w:sz w:val="20"/>
          <w:szCs w:val="20"/>
          <w:u w:val="single"/>
        </w:rPr>
      </w:pPr>
      <w:r w:rsidRPr="00ED56CD">
        <w:rPr>
          <w:b/>
          <w:color w:val="222222"/>
          <w:sz w:val="20"/>
          <w:szCs w:val="20"/>
          <w:u w:val="single"/>
        </w:rPr>
        <w:t>Piesardzības pasākumi</w:t>
      </w:r>
    </w:p>
    <w:p w:rsidR="00D13BA3" w:rsidRPr="00ED56CD" w:rsidRDefault="00D13BA3" w:rsidP="00D13BA3">
      <w:pPr>
        <w:pStyle w:val="ListParagraph"/>
        <w:numPr>
          <w:ilvl w:val="0"/>
          <w:numId w:val="1"/>
        </w:numPr>
        <w:rPr>
          <w:i/>
          <w:color w:val="222222"/>
          <w:sz w:val="20"/>
          <w:szCs w:val="20"/>
        </w:rPr>
      </w:pPr>
      <w:r w:rsidRPr="00ED56CD">
        <w:rPr>
          <w:i/>
          <w:color w:val="222222"/>
          <w:sz w:val="20"/>
          <w:szCs w:val="20"/>
        </w:rPr>
        <w:t xml:space="preserve">Ortozei izmantotie materiāli ir viegli uzliesmojoši, tādēļ nerekomendējam to lietot atklātas liesmas tuvumā. </w:t>
      </w:r>
    </w:p>
    <w:p w:rsidR="00D13BA3" w:rsidRPr="00ED56CD" w:rsidRDefault="00D13BA3" w:rsidP="00D13BA3">
      <w:pPr>
        <w:pStyle w:val="ListParagraph"/>
        <w:numPr>
          <w:ilvl w:val="0"/>
          <w:numId w:val="1"/>
        </w:numPr>
        <w:rPr>
          <w:i/>
          <w:color w:val="222222"/>
          <w:sz w:val="20"/>
          <w:szCs w:val="20"/>
        </w:rPr>
      </w:pPr>
      <w:r w:rsidRPr="00ED56CD">
        <w:rPr>
          <w:i/>
          <w:color w:val="222222"/>
          <w:sz w:val="20"/>
          <w:szCs w:val="20"/>
        </w:rPr>
        <w:t>Izmantotais materiāls ir hipoalerģisks, tomēr atsevišķos gadījumos tas var izsaukt alerģiskas reakcijas. Tādā gadījumā pārtrauciet ortozes lietošanu un sazinieties ar savu ārstu.</w:t>
      </w:r>
    </w:p>
    <w:p w:rsidR="00D13BA3" w:rsidRPr="00ED56CD" w:rsidRDefault="00D13BA3" w:rsidP="00D13BA3">
      <w:pPr>
        <w:pStyle w:val="ListParagraph"/>
        <w:numPr>
          <w:ilvl w:val="0"/>
          <w:numId w:val="1"/>
        </w:numPr>
        <w:rPr>
          <w:i/>
          <w:color w:val="222222"/>
          <w:sz w:val="20"/>
          <w:szCs w:val="20"/>
        </w:rPr>
      </w:pPr>
      <w:r w:rsidRPr="00ED56CD">
        <w:rPr>
          <w:i/>
          <w:color w:val="222222"/>
          <w:sz w:val="20"/>
          <w:szCs w:val="20"/>
        </w:rPr>
        <w:t>Lai izvairītos no berzes starp ortozi un ādu, mēs rekomendējam zem tās lietot plānu kokvilnas audumu.</w:t>
      </w:r>
    </w:p>
    <w:p w:rsidR="00D13BA3" w:rsidRPr="00ED56CD" w:rsidRDefault="00D13BA3" w:rsidP="00D13BA3">
      <w:pPr>
        <w:pStyle w:val="ListParagraph"/>
        <w:numPr>
          <w:ilvl w:val="0"/>
          <w:numId w:val="1"/>
        </w:numPr>
        <w:rPr>
          <w:i/>
          <w:color w:val="222222"/>
          <w:sz w:val="20"/>
          <w:szCs w:val="20"/>
        </w:rPr>
      </w:pPr>
      <w:r w:rsidRPr="00ED56CD">
        <w:rPr>
          <w:i/>
          <w:color w:val="222222"/>
          <w:sz w:val="20"/>
          <w:szCs w:val="20"/>
        </w:rPr>
        <w:t>Aizliegts lietot uz atklātām brūcēm, sulojošiem ādas apsārtumiem vai vietās, kur ir traucēta asins/ limfas attece.</w:t>
      </w:r>
    </w:p>
    <w:p w:rsidR="00D13BA3" w:rsidRPr="00ED56CD" w:rsidRDefault="00D13BA3" w:rsidP="00D13BA3">
      <w:pPr>
        <w:pStyle w:val="ListParagraph"/>
        <w:numPr>
          <w:ilvl w:val="0"/>
          <w:numId w:val="1"/>
        </w:numPr>
        <w:rPr>
          <w:i/>
          <w:color w:val="222222"/>
          <w:sz w:val="20"/>
          <w:szCs w:val="20"/>
        </w:rPr>
      </w:pPr>
      <w:r w:rsidRPr="00ED56CD">
        <w:rPr>
          <w:i/>
          <w:color w:val="222222"/>
          <w:sz w:val="20"/>
          <w:szCs w:val="20"/>
        </w:rPr>
        <w:t>Produk</w:t>
      </w:r>
      <w:r w:rsidR="00D9418A" w:rsidRPr="00ED56CD">
        <w:rPr>
          <w:i/>
          <w:color w:val="222222"/>
          <w:sz w:val="20"/>
          <w:szCs w:val="20"/>
        </w:rPr>
        <w:t>ts paredzēts pacientam, kuram</w:t>
      </w:r>
      <w:r w:rsidRPr="00ED56CD">
        <w:rPr>
          <w:i/>
          <w:color w:val="222222"/>
          <w:sz w:val="20"/>
          <w:szCs w:val="20"/>
        </w:rPr>
        <w:t xml:space="preserve"> to ir nozīmējis ārsts.</w:t>
      </w:r>
    </w:p>
    <w:p w:rsidR="00D13BA3" w:rsidRPr="00ED56CD" w:rsidRDefault="00D13BA3" w:rsidP="00D13BA3">
      <w:pPr>
        <w:rPr>
          <w:b/>
          <w:i/>
          <w:color w:val="222222"/>
          <w:u w:val="single"/>
        </w:rPr>
      </w:pPr>
      <w:r w:rsidRPr="00ED56CD">
        <w:rPr>
          <w:b/>
          <w:i/>
          <w:color w:val="222222"/>
          <w:u w:val="single"/>
        </w:rPr>
        <w:t>Mazgāšana un kopšana</w:t>
      </w:r>
    </w:p>
    <w:p w:rsidR="00D13BA3" w:rsidRPr="00ED56CD" w:rsidRDefault="00D13BA3" w:rsidP="00D13BA3">
      <w:pPr>
        <w:pStyle w:val="ListParagraph"/>
        <w:numPr>
          <w:ilvl w:val="0"/>
          <w:numId w:val="2"/>
        </w:numPr>
        <w:rPr>
          <w:color w:val="222222"/>
        </w:rPr>
      </w:pPr>
      <w:r w:rsidRPr="00ED56CD">
        <w:rPr>
          <w:color w:val="222222"/>
        </w:rPr>
        <w:t>Ortozi mazgāt ar rokām siltā ziepju ūdenī</w:t>
      </w:r>
    </w:p>
    <w:p w:rsidR="00D13BA3" w:rsidRPr="00ED56CD" w:rsidRDefault="00D13BA3" w:rsidP="00D13BA3">
      <w:pPr>
        <w:pStyle w:val="ListParagraph"/>
        <w:numPr>
          <w:ilvl w:val="0"/>
          <w:numId w:val="2"/>
        </w:numPr>
        <w:rPr>
          <w:color w:val="222222"/>
        </w:rPr>
      </w:pPr>
      <w:r w:rsidRPr="00ED56CD">
        <w:rPr>
          <w:color w:val="222222"/>
        </w:rPr>
        <w:t>Neizmantot ķīmiskus tīrīšanas līdzekļus vai balinātājus</w:t>
      </w:r>
    </w:p>
    <w:p w:rsidR="00D9418A" w:rsidRPr="00ED56CD" w:rsidRDefault="00D13BA3" w:rsidP="006C633A">
      <w:pPr>
        <w:pStyle w:val="ListParagraph"/>
        <w:numPr>
          <w:ilvl w:val="0"/>
          <w:numId w:val="2"/>
        </w:numPr>
        <w:rPr>
          <w:color w:val="222222"/>
        </w:rPr>
      </w:pPr>
      <w:r w:rsidRPr="00ED56CD">
        <w:rPr>
          <w:color w:val="222222"/>
        </w:rPr>
        <w:t>Žāvēt istabas temp</w:t>
      </w:r>
      <w:r w:rsidR="006C633A" w:rsidRPr="00ED56CD">
        <w:rPr>
          <w:color w:val="222222"/>
        </w:rPr>
        <w:t>eratūrā, izvairoties no tieša</w:t>
      </w:r>
      <w:r w:rsidR="00D9418A" w:rsidRPr="00ED56CD">
        <w:rPr>
          <w:color w:val="222222"/>
        </w:rPr>
        <w:t>s saules un karstuma iedarbības</w:t>
      </w:r>
      <w:r w:rsidR="00CC2512" w:rsidRPr="00ED56CD">
        <w:rPr>
          <w:color w:val="222222"/>
        </w:rPr>
        <w:t xml:space="preserve">                </w:t>
      </w:r>
      <w:r w:rsidR="00D9418A" w:rsidRPr="00ED56CD">
        <w:rPr>
          <w:rFonts w:ascii="Open Sans" w:hAnsi="Open Sans" w:cs="Arial"/>
          <w:noProof/>
          <w:color w:val="1A1A1A"/>
          <w:lang w:eastAsia="lv-LV"/>
        </w:rPr>
        <w:drawing>
          <wp:inline distT="0" distB="0" distL="0" distR="0">
            <wp:extent cx="382270" cy="525145"/>
            <wp:effectExtent l="0" t="0" r="0" b="8255"/>
            <wp:docPr id="3" name="Picture 3" descr="http://itvnet.lv/article/egoiste/49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tvnet.lv/article/egoiste/4950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18A" w:rsidRPr="00ED56CD">
        <w:rPr>
          <w:rFonts w:ascii="Open Sans" w:hAnsi="Open Sans" w:cs="Arial"/>
          <w:noProof/>
          <w:color w:val="1A1A1A"/>
          <w:lang w:eastAsia="lv-LV"/>
        </w:rPr>
        <w:drawing>
          <wp:inline distT="0" distB="0" distL="0" distR="0">
            <wp:extent cx="504825" cy="361950"/>
            <wp:effectExtent l="0" t="0" r="9525" b="0"/>
            <wp:docPr id="2" name="Picture 2" descr="http://itvnet.lv/article/egoiste/49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vnet.lv/article/egoiste/4950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18A" w:rsidRPr="00ED56CD">
        <w:rPr>
          <w:rFonts w:ascii="Open Sans" w:hAnsi="Open Sans" w:cs="Arial"/>
          <w:noProof/>
          <w:color w:val="1A1A1A"/>
          <w:lang w:eastAsia="lv-LV"/>
        </w:rPr>
        <w:drawing>
          <wp:inline distT="0" distB="0" distL="0" distR="0">
            <wp:extent cx="504825" cy="340995"/>
            <wp:effectExtent l="0" t="0" r="9525" b="1905"/>
            <wp:docPr id="1" name="Picture 1" descr="http://itvnet.lv/article/egoiste/495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vnet.lv/article/egoiste/4950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512" w:rsidRPr="00ED56CD">
        <w:rPr>
          <w:rFonts w:ascii="Open Sans" w:hAnsi="Open Sans" w:cs="Arial"/>
          <w:noProof/>
          <w:color w:val="1A1A1A"/>
          <w:lang w:eastAsia="lv-LV"/>
        </w:rPr>
        <w:drawing>
          <wp:inline distT="0" distB="0" distL="0" distR="0">
            <wp:extent cx="504825" cy="368300"/>
            <wp:effectExtent l="0" t="0" r="9525" b="0"/>
            <wp:docPr id="4" name="Picture 4" descr="http://itvnet.lv/article/egoiste/49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tvnet.lv/article/egoiste/4950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33A" w:rsidRPr="00ED56CD" w:rsidRDefault="006C633A" w:rsidP="006C633A">
      <w:pPr>
        <w:rPr>
          <w:b/>
          <w:i/>
          <w:color w:val="222222"/>
          <w:u w:val="single"/>
        </w:rPr>
      </w:pPr>
      <w:r w:rsidRPr="00ED56CD">
        <w:rPr>
          <w:b/>
          <w:i/>
          <w:color w:val="222222"/>
          <w:u w:val="single"/>
        </w:rPr>
        <w:t>Garantijas nosacījumi</w:t>
      </w:r>
    </w:p>
    <w:p w:rsidR="006C633A" w:rsidRPr="00ED56CD" w:rsidRDefault="006C633A" w:rsidP="006C633A">
      <w:pPr>
        <w:rPr>
          <w:color w:val="222222"/>
        </w:rPr>
      </w:pPr>
      <w:r w:rsidRPr="00ED56CD">
        <w:rPr>
          <w:color w:val="222222"/>
        </w:rPr>
        <w:t>Garantija darbojas gadījumos, ja prece ir lietota atbilstoši norādījumiem un atrodas tās orģinālajā iepakojumā.</w:t>
      </w:r>
    </w:p>
    <w:p w:rsidR="006C633A" w:rsidRPr="00ED56CD" w:rsidRDefault="006C633A" w:rsidP="006C633A">
      <w:pPr>
        <w:rPr>
          <w:color w:val="222222"/>
        </w:rPr>
      </w:pPr>
      <w:r w:rsidRPr="00ED56CD">
        <w:rPr>
          <w:color w:val="222222"/>
        </w:rPr>
        <w:t>Mēs pateicamies par Jūsu izvēli un novēlam ātru atveseļošanos!</w:t>
      </w:r>
    </w:p>
    <w:p w:rsidR="00CC2512" w:rsidRPr="00ED56CD" w:rsidRDefault="00CC2512" w:rsidP="006C633A">
      <w:pPr>
        <w:rPr>
          <w:b/>
          <w:i/>
          <w:color w:val="222222"/>
        </w:rPr>
      </w:pPr>
      <w:r w:rsidRPr="00ED56CD">
        <w:rPr>
          <w:b/>
          <w:i/>
          <w:color w:val="222222"/>
        </w:rPr>
        <w:t>Ražotājs:                                                                Izplatītājs:</w:t>
      </w:r>
    </w:p>
    <w:p w:rsidR="00CC2512" w:rsidRDefault="00CC2512" w:rsidP="00CC2512">
      <w:pPr>
        <w:spacing w:after="0"/>
        <w:rPr>
          <w:color w:val="222222"/>
        </w:rPr>
      </w:pPr>
      <w:r>
        <w:rPr>
          <w:color w:val="222222"/>
        </w:rPr>
        <w:t>FARMASYSTEM S.r.l.                                            SIA “Medilink”</w:t>
      </w:r>
    </w:p>
    <w:p w:rsidR="00CC2512" w:rsidRDefault="00CC2512" w:rsidP="00CC2512">
      <w:pPr>
        <w:spacing w:after="0"/>
        <w:rPr>
          <w:color w:val="222222"/>
        </w:rPr>
      </w:pPr>
      <w:r>
        <w:rPr>
          <w:color w:val="222222"/>
        </w:rPr>
        <w:t xml:space="preserve">Viale Pietro Toselli, 34 e 54/A                            </w:t>
      </w:r>
      <w:r w:rsidR="004B369D">
        <w:rPr>
          <w:color w:val="222222"/>
        </w:rPr>
        <w:t xml:space="preserve">Biķernieku iela </w:t>
      </w:r>
      <w:r w:rsidR="00ED56CD">
        <w:rPr>
          <w:color w:val="222222"/>
        </w:rPr>
        <w:t>121, Rīga, LV-1021</w:t>
      </w:r>
    </w:p>
    <w:p w:rsidR="00CC2512" w:rsidRDefault="00CC2512" w:rsidP="00CC2512">
      <w:pPr>
        <w:spacing w:after="0"/>
        <w:rPr>
          <w:color w:val="222222"/>
        </w:rPr>
      </w:pPr>
      <w:r>
        <w:rPr>
          <w:color w:val="222222"/>
        </w:rPr>
        <w:t xml:space="preserve">53100 Siena (SI) Italy                         </w:t>
      </w:r>
      <w:r w:rsidR="00ED56CD">
        <w:rPr>
          <w:color w:val="222222"/>
        </w:rPr>
        <w:t xml:space="preserve">                  </w:t>
      </w:r>
      <w:r>
        <w:rPr>
          <w:color w:val="222222"/>
        </w:rPr>
        <w:t xml:space="preserve">Veikalu adreses:  </w:t>
      </w:r>
    </w:p>
    <w:p w:rsidR="00CC2512" w:rsidRDefault="00CC2512" w:rsidP="00CC2512">
      <w:pPr>
        <w:spacing w:after="0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</w:t>
      </w:r>
      <w:r w:rsidR="004B369D">
        <w:rPr>
          <w:color w:val="222222"/>
        </w:rPr>
        <w:t>Čiekurkalnā: V</w:t>
      </w:r>
      <w:r>
        <w:rPr>
          <w:color w:val="222222"/>
        </w:rPr>
        <w:t>iskaļu ielā 11</w:t>
      </w:r>
      <w:r w:rsidR="00ED56CD">
        <w:rPr>
          <w:color w:val="222222"/>
        </w:rPr>
        <w:t>, Rīga, LV-1026</w:t>
      </w:r>
    </w:p>
    <w:p w:rsidR="00ED56CD" w:rsidRDefault="00ED56CD" w:rsidP="00CC2512">
      <w:pPr>
        <w:spacing w:after="0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T: 67840379; 22009125</w:t>
      </w:r>
    </w:p>
    <w:p w:rsidR="00ED56CD" w:rsidRDefault="00ED56CD" w:rsidP="00CC2512">
      <w:pPr>
        <w:spacing w:after="0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Āgenskalnā: Bāriņu iela 10, Rīga, LV-1002</w:t>
      </w:r>
    </w:p>
    <w:p w:rsidR="00ED56CD" w:rsidRDefault="00ED56CD" w:rsidP="00CC2512">
      <w:pPr>
        <w:spacing w:after="0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T:67612530</w:t>
      </w:r>
    </w:p>
    <w:sectPr w:rsidR="00ED56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DC" w:rsidRDefault="00C65EDC" w:rsidP="00ED56CD">
      <w:pPr>
        <w:spacing w:after="0" w:line="240" w:lineRule="auto"/>
      </w:pPr>
      <w:r>
        <w:separator/>
      </w:r>
    </w:p>
  </w:endnote>
  <w:endnote w:type="continuationSeparator" w:id="0">
    <w:p w:rsidR="00C65EDC" w:rsidRDefault="00C65EDC" w:rsidP="00ED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DC" w:rsidRDefault="00C65EDC" w:rsidP="00ED56CD">
      <w:pPr>
        <w:spacing w:after="0" w:line="240" w:lineRule="auto"/>
      </w:pPr>
      <w:r>
        <w:separator/>
      </w:r>
    </w:p>
  </w:footnote>
  <w:footnote w:type="continuationSeparator" w:id="0">
    <w:p w:rsidR="00C65EDC" w:rsidRDefault="00C65EDC" w:rsidP="00ED5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74A"/>
    <w:multiLevelType w:val="hybridMultilevel"/>
    <w:tmpl w:val="0FFA40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57CAB"/>
    <w:multiLevelType w:val="hybridMultilevel"/>
    <w:tmpl w:val="230CDB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F9"/>
    <w:rsid w:val="00110D25"/>
    <w:rsid w:val="0021582B"/>
    <w:rsid w:val="00286D66"/>
    <w:rsid w:val="002A2997"/>
    <w:rsid w:val="004B369D"/>
    <w:rsid w:val="006534F9"/>
    <w:rsid w:val="006C633A"/>
    <w:rsid w:val="0087292E"/>
    <w:rsid w:val="008D69F3"/>
    <w:rsid w:val="00A413F5"/>
    <w:rsid w:val="00A742C2"/>
    <w:rsid w:val="00C65EDC"/>
    <w:rsid w:val="00CC2512"/>
    <w:rsid w:val="00D13BA3"/>
    <w:rsid w:val="00D9418A"/>
    <w:rsid w:val="00E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9141BB-6B62-41D7-B816-0842EFAF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6CD"/>
  </w:style>
  <w:style w:type="paragraph" w:styleId="Footer">
    <w:name w:val="footer"/>
    <w:basedOn w:val="Normal"/>
    <w:link w:val="FooterChar"/>
    <w:uiPriority w:val="99"/>
    <w:unhideWhenUsed/>
    <w:rsid w:val="00ED56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Blekte</dc:creator>
  <cp:keywords/>
  <dc:description/>
  <cp:lastModifiedBy>Liene Blekte</cp:lastModifiedBy>
  <cp:revision>2</cp:revision>
  <cp:lastPrinted>2016-05-24T09:06:00Z</cp:lastPrinted>
  <dcterms:created xsi:type="dcterms:W3CDTF">2016-05-24T09:27:00Z</dcterms:created>
  <dcterms:modified xsi:type="dcterms:W3CDTF">2016-05-24T09:27:00Z</dcterms:modified>
</cp:coreProperties>
</file>